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465166AB" w14:textId="4476F3A4" w:rsidR="001B7CA2" w:rsidRPr="0002213A" w:rsidRDefault="00BB7A69" w:rsidP="00B669A0">
      <w:pPr>
        <w:pBdr>
          <w:bottom w:val="single" w:sz="4" w:space="1" w:color="auto"/>
        </w:pBdr>
        <w:rPr>
          <w:b/>
          <w:bCs/>
          <w:lang w:val="en-GB"/>
        </w:rPr>
      </w:pPr>
      <w:r>
        <w:rPr>
          <w:b/>
          <w:lang w:val="en-AU"/>
        </w:rPr>
        <w:t xml:space="preserve">ESTONIA </w:t>
      </w:r>
      <w:r w:rsidR="00B669A0" w:rsidRPr="0002213A">
        <w:rPr>
          <w:b/>
          <w:bCs/>
          <w:lang w:val="en-AU"/>
        </w:rPr>
        <w:t>REVIEW</w:t>
      </w:r>
    </w:p>
    <w:p w14:paraId="71CFA76C" w14:textId="60E6A276" w:rsidR="00694C36" w:rsidRPr="00653649" w:rsidRDefault="001B7CA2" w:rsidP="001B7CA2">
      <w:pPr>
        <w:rPr>
          <w:lang w:val="en-GB"/>
        </w:rPr>
      </w:pPr>
      <w:r w:rsidRPr="001B7CA2">
        <w:rPr>
          <w:b/>
          <w:bCs/>
          <w:lang w:val="en-GB"/>
        </w:rPr>
        <w:t xml:space="preserve">I. Justice System </w:t>
      </w:r>
    </w:p>
    <w:p w14:paraId="4E024A29" w14:textId="544EE5B8" w:rsidR="001B7CA2" w:rsidRPr="001B7CA2" w:rsidRDefault="001B7CA2" w:rsidP="001B7CA2">
      <w:pPr>
        <w:rPr>
          <w:lang w:val="en-GB"/>
        </w:rPr>
      </w:pPr>
      <w:r w:rsidRPr="001B7CA2">
        <w:rPr>
          <w:b/>
          <w:bCs/>
          <w:i/>
          <w:iCs/>
          <w:lang w:val="en-GB"/>
        </w:rPr>
        <w:t xml:space="preserve">B. Quality of justice </w:t>
      </w:r>
    </w:p>
    <w:p w14:paraId="48E3E95A" w14:textId="6E3C2BE5" w:rsidR="001B7CA2" w:rsidRDefault="001B7CA2" w:rsidP="00FF5A3B">
      <w:pPr>
        <w:spacing w:line="240" w:lineRule="auto"/>
        <w:rPr>
          <w:i/>
          <w:iCs/>
          <w:lang w:val="en-GB"/>
        </w:rPr>
      </w:pPr>
      <w:r w:rsidRPr="001B7CA2">
        <w:rPr>
          <w:i/>
          <w:iCs/>
          <w:lang w:val="en-GB"/>
        </w:rPr>
        <w:t xml:space="preserve">11. Accessibility of courts (e.g. court fees, legal aid, language) </w:t>
      </w:r>
    </w:p>
    <w:p w14:paraId="238D9ED3" w14:textId="1E430FD4" w:rsidR="00761C86" w:rsidRPr="0039389B" w:rsidRDefault="00761C86" w:rsidP="000B34C5">
      <w:pPr>
        <w:spacing w:line="240" w:lineRule="auto"/>
        <w:jc w:val="both"/>
        <w:rPr>
          <w:lang w:val="en-GB"/>
        </w:rPr>
      </w:pPr>
      <w:r w:rsidRPr="00761C86">
        <w:rPr>
          <w:lang w:val="en-GB"/>
        </w:rPr>
        <w:t xml:space="preserve">The Committee on the Rights of Persons with Disabilities </w:t>
      </w:r>
      <w:r w:rsidR="000B34C5">
        <w:rPr>
          <w:lang w:val="en-GB"/>
        </w:rPr>
        <w:t>in its concluding observations noted</w:t>
      </w:r>
      <w:r w:rsidRPr="00761C86">
        <w:rPr>
          <w:lang w:val="en-GB"/>
        </w:rPr>
        <w:t xml:space="preserve"> with concern</w:t>
      </w:r>
      <w:r>
        <w:rPr>
          <w:lang w:val="en-GB"/>
        </w:rPr>
        <w:t xml:space="preserve"> that</w:t>
      </w:r>
      <w:r w:rsidR="000B34C5">
        <w:rPr>
          <w:lang w:val="en-GB"/>
        </w:rPr>
        <w:t xml:space="preserve"> </w:t>
      </w:r>
      <w:r w:rsidRPr="00761C86">
        <w:rPr>
          <w:lang w:val="en-GB"/>
        </w:rPr>
        <w:t>persons with dis</w:t>
      </w:r>
      <w:r w:rsidR="000B34C5">
        <w:rPr>
          <w:lang w:val="en-GB"/>
        </w:rPr>
        <w:t>abilities under guardianship were</w:t>
      </w:r>
      <w:r w:rsidRPr="00761C86">
        <w:rPr>
          <w:lang w:val="en-GB"/>
        </w:rPr>
        <w:t xml:space="preserve"> de facto d</w:t>
      </w:r>
      <w:r w:rsidR="000B34C5">
        <w:rPr>
          <w:lang w:val="en-GB"/>
        </w:rPr>
        <w:t>enied access to justice and had</w:t>
      </w:r>
      <w:r w:rsidRPr="00761C86">
        <w:rPr>
          <w:lang w:val="en-GB"/>
        </w:rPr>
        <w:t xml:space="preserve"> to contend with the prevailing paternalistic attitudes concerning persons with disabilities participating in legal proceedings</w:t>
      </w:r>
      <w:r w:rsidR="001C1837">
        <w:rPr>
          <w:lang w:val="en-GB"/>
        </w:rPr>
        <w:t xml:space="preserve">. Persons with disabilities were also facing </w:t>
      </w:r>
      <w:r w:rsidRPr="00761C86">
        <w:rPr>
          <w:lang w:val="en-GB"/>
        </w:rPr>
        <w:t>limited range of age- and gender-responsive procedural accommodations and the absence of progra</w:t>
      </w:r>
      <w:r w:rsidR="0033582B">
        <w:rPr>
          <w:lang w:val="en-GB"/>
        </w:rPr>
        <w:t>mmes to ensure legal assistance</w:t>
      </w:r>
      <w:r w:rsidR="001C1837">
        <w:rPr>
          <w:lang w:val="en-GB"/>
        </w:rPr>
        <w:t>. The Committee further</w:t>
      </w:r>
      <w:r w:rsidR="000B34C5">
        <w:rPr>
          <w:lang w:val="en-GB"/>
        </w:rPr>
        <w:t xml:space="preserve"> </w:t>
      </w:r>
      <w:r w:rsidRPr="00761C86">
        <w:rPr>
          <w:lang w:val="en-GB"/>
        </w:rPr>
        <w:t xml:space="preserve">reported lack of information in accessible formats for persons with disabilities throughout legal proceedings, barriers to gaining physical access to justice facilities, including courts and police stations, and </w:t>
      </w:r>
      <w:r w:rsidR="001C1837">
        <w:rPr>
          <w:lang w:val="en-GB"/>
        </w:rPr>
        <w:t>a</w:t>
      </w:r>
      <w:r w:rsidRPr="00761C86">
        <w:rPr>
          <w:lang w:val="en-GB"/>
        </w:rPr>
        <w:t xml:space="preserve"> lack of accessible transportation to </w:t>
      </w:r>
      <w:r w:rsidR="001C1837">
        <w:rPr>
          <w:lang w:val="en-GB"/>
        </w:rPr>
        <w:t>reach</w:t>
      </w:r>
      <w:r w:rsidRPr="00761C86">
        <w:rPr>
          <w:lang w:val="en-GB"/>
        </w:rPr>
        <w:t xml:space="preserve"> these facilities.</w:t>
      </w:r>
      <w:r w:rsidR="00A47B7D">
        <w:rPr>
          <w:lang w:val="en-GB"/>
        </w:rPr>
        <w:t xml:space="preserve"> </w:t>
      </w:r>
      <w:proofErr w:type="gramStart"/>
      <w:r w:rsidR="003B6352" w:rsidRPr="003B6352">
        <w:rPr>
          <w:lang w:val="en-GB"/>
        </w:rPr>
        <w:t xml:space="preserve">The Committee </w:t>
      </w:r>
      <w:r w:rsidR="000B34C5">
        <w:rPr>
          <w:lang w:val="en-GB"/>
        </w:rPr>
        <w:t>recommended</w:t>
      </w:r>
      <w:r w:rsidR="003B6352" w:rsidRPr="003B6352">
        <w:rPr>
          <w:lang w:val="en-GB"/>
        </w:rPr>
        <w:t xml:space="preserve"> that</w:t>
      </w:r>
      <w:r w:rsidR="000B34C5">
        <w:rPr>
          <w:lang w:val="en-GB"/>
        </w:rPr>
        <w:t xml:space="preserve"> Estonia e</w:t>
      </w:r>
      <w:r w:rsidR="003B6352" w:rsidRPr="003B6352">
        <w:rPr>
          <w:lang w:val="en-GB"/>
        </w:rPr>
        <w:t>nsure full recognition of the legal capacity of all persons with disabilities and of their right to gain access to justice on an equal basis with others, including throughout proceedings before the courts, tribunals and administrative authorities, and recognize the right of all persons with disabilities to seek restoration of their legal capacity and legal assistance to pursue their claims;</w:t>
      </w:r>
      <w:r w:rsidR="000B34C5">
        <w:rPr>
          <w:lang w:val="en-GB"/>
        </w:rPr>
        <w:t xml:space="preserve"> a</w:t>
      </w:r>
      <w:r w:rsidR="003B6352" w:rsidRPr="003B6352">
        <w:rPr>
          <w:lang w:val="en-GB"/>
        </w:rPr>
        <w:t>dopt mechanisms to provide persons with disabilities with age- appropriate accommodations, including support, and access to legal aid throughout legal proceedings, in all areas of law and at all levels of the judiciary;</w:t>
      </w:r>
      <w:r w:rsidR="000B34C5">
        <w:rPr>
          <w:lang w:val="en-GB"/>
        </w:rPr>
        <w:t xml:space="preserve">  d</w:t>
      </w:r>
      <w:r w:rsidR="003B6352" w:rsidRPr="003B6352">
        <w:rPr>
          <w:lang w:val="en-GB"/>
        </w:rPr>
        <w:t>evelop alternative and augmentative means of information and communication for use throughout legal proceedings, such as Braille, sign language, Easy Read and audio and video transcription, apply the principle of universal design and adopt an action plan to ensure physical access to all justice facilities, including th</w:t>
      </w:r>
      <w:r w:rsidR="000B34C5">
        <w:rPr>
          <w:lang w:val="en-GB"/>
        </w:rPr>
        <w:t xml:space="preserve">rough accessible transportation </w:t>
      </w:r>
      <w:r w:rsidR="00A47B7D">
        <w:rPr>
          <w:lang w:val="en-GB"/>
        </w:rPr>
        <w:t>(</w:t>
      </w:r>
      <w:hyperlink r:id="rId8" w:history="1">
        <w:r w:rsidR="00A47B7D" w:rsidRPr="003B6352">
          <w:rPr>
            <w:rStyle w:val="Hyperlink"/>
            <w:lang w:val="en-GB"/>
          </w:rPr>
          <w:t>CRPD/C/EST/CO/1</w:t>
        </w:r>
      </w:hyperlink>
      <w:r w:rsidR="000B34C5">
        <w:rPr>
          <w:lang w:val="en-GB"/>
        </w:rPr>
        <w:t>, paras. 25-26</w:t>
      </w:r>
      <w:r w:rsidR="00A47B7D">
        <w:rPr>
          <w:lang w:val="en-GB"/>
        </w:rPr>
        <w:t>)</w:t>
      </w:r>
      <w:r w:rsidR="000B34C5">
        <w:rPr>
          <w:lang w:val="en-GB"/>
        </w:rPr>
        <w:t>.</w:t>
      </w:r>
      <w:proofErr w:type="gramEnd"/>
    </w:p>
    <w:p w14:paraId="021034EF" w14:textId="5601D250" w:rsidR="00694C36" w:rsidRDefault="00694C36" w:rsidP="00FF5A3B">
      <w:pPr>
        <w:widowControl w:val="0"/>
        <w:tabs>
          <w:tab w:val="left" w:pos="1216"/>
        </w:tabs>
        <w:autoSpaceDE w:val="0"/>
        <w:autoSpaceDN w:val="0"/>
        <w:spacing w:before="120" w:after="0" w:line="240" w:lineRule="auto"/>
        <w:rPr>
          <w:i/>
          <w:lang w:val="en-US"/>
        </w:rPr>
      </w:pPr>
      <w:r>
        <w:rPr>
          <w:i/>
          <w:lang w:val="en-US"/>
        </w:rPr>
        <w:t>13</w:t>
      </w:r>
      <w:proofErr w:type="gramStart"/>
      <w:r>
        <w:rPr>
          <w:i/>
          <w:lang w:val="en-US"/>
        </w:rPr>
        <w:t>.</w:t>
      </w:r>
      <w:r w:rsidRPr="00694C36">
        <w:rPr>
          <w:i/>
          <w:lang w:val="en-US"/>
        </w:rPr>
        <w:t>Training</w:t>
      </w:r>
      <w:proofErr w:type="gramEnd"/>
      <w:r w:rsidRPr="00694C36">
        <w:rPr>
          <w:i/>
          <w:lang w:val="en-US"/>
        </w:rPr>
        <w:t xml:space="preserve"> of justice professionals (including judges, prosecutors, lawyers, court</w:t>
      </w:r>
      <w:r w:rsidRPr="00694C36">
        <w:rPr>
          <w:i/>
          <w:spacing w:val="-15"/>
          <w:lang w:val="en-US"/>
        </w:rPr>
        <w:t xml:space="preserve"> </w:t>
      </w:r>
      <w:r w:rsidRPr="00694C36">
        <w:rPr>
          <w:i/>
          <w:lang w:val="en-US"/>
        </w:rPr>
        <w:t>staff)</w:t>
      </w:r>
    </w:p>
    <w:p w14:paraId="2BD762B1" w14:textId="4B15CBF8" w:rsidR="0017374C" w:rsidRPr="00D60B12" w:rsidRDefault="00D60B12" w:rsidP="000B34C5">
      <w:pPr>
        <w:widowControl w:val="0"/>
        <w:tabs>
          <w:tab w:val="left" w:pos="1216"/>
        </w:tabs>
        <w:autoSpaceDE w:val="0"/>
        <w:autoSpaceDN w:val="0"/>
        <w:spacing w:before="120" w:after="0" w:line="240" w:lineRule="auto"/>
        <w:jc w:val="both"/>
        <w:rPr>
          <w:iCs/>
          <w:lang w:val="en-US"/>
        </w:rPr>
      </w:pPr>
      <w:r w:rsidRPr="00D60B12">
        <w:rPr>
          <w:iCs/>
          <w:lang w:val="en-US"/>
        </w:rPr>
        <w:t>The Committee on the Rights of Persons with Disabilities</w:t>
      </w:r>
      <w:r w:rsidR="000B34C5">
        <w:rPr>
          <w:iCs/>
          <w:lang w:val="en-US"/>
        </w:rPr>
        <w:t xml:space="preserve"> in its concluding observations noted</w:t>
      </w:r>
      <w:r w:rsidRPr="00D60B12">
        <w:rPr>
          <w:iCs/>
          <w:lang w:val="en-US"/>
        </w:rPr>
        <w:t xml:space="preserve"> with concern the lack of awareness among policymakers, officers and professionals, at the national and municipal levels, including judges, prosecutors, teachers and medical, health and other professionals working with persons with disabilities, on the rights recognized in the Convention</w:t>
      </w:r>
      <w:r w:rsidR="000B34C5">
        <w:rPr>
          <w:iCs/>
          <w:lang w:val="en-US"/>
        </w:rPr>
        <w:t xml:space="preserve"> on </w:t>
      </w:r>
      <w:r w:rsidR="000B34C5" w:rsidRPr="000B34C5">
        <w:rPr>
          <w:iCs/>
          <w:lang w:val="en-US"/>
        </w:rPr>
        <w:t>the Rights of Persons with Disabilities</w:t>
      </w:r>
      <w:r w:rsidRPr="000B34C5">
        <w:rPr>
          <w:iCs/>
          <w:lang w:val="en-US"/>
        </w:rPr>
        <w:t>.</w:t>
      </w:r>
      <w:r w:rsidR="0046228F">
        <w:rPr>
          <w:iCs/>
          <w:lang w:val="en-US"/>
        </w:rPr>
        <w:t xml:space="preserve"> </w:t>
      </w:r>
      <w:r w:rsidR="000B34C5">
        <w:rPr>
          <w:iCs/>
          <w:lang w:val="en-US"/>
        </w:rPr>
        <w:t>The Committee recommended that Estonia s</w:t>
      </w:r>
      <w:r w:rsidR="0017374C" w:rsidRPr="0017374C">
        <w:rPr>
          <w:iCs/>
          <w:lang w:val="en-US"/>
        </w:rPr>
        <w:t xml:space="preserve">trengthen capacity-building </w:t>
      </w:r>
      <w:proofErr w:type="spellStart"/>
      <w:r w:rsidR="0017374C" w:rsidRPr="0017374C">
        <w:rPr>
          <w:iCs/>
          <w:lang w:val="en-US"/>
        </w:rPr>
        <w:t>programmes</w:t>
      </w:r>
      <w:proofErr w:type="spellEnd"/>
      <w:r w:rsidR="0017374C" w:rsidRPr="0017374C">
        <w:rPr>
          <w:iCs/>
          <w:lang w:val="en-US"/>
        </w:rPr>
        <w:t xml:space="preserve"> for public policymakers, municipal officers and professionals at the national and municipal levels, including judges, prosecutors, teachers and medical, health and other professionals working with persons with disabilities, and the obligations of </w:t>
      </w:r>
      <w:r w:rsidR="00BD6F4B">
        <w:rPr>
          <w:iCs/>
          <w:lang w:val="en-US"/>
        </w:rPr>
        <w:t>Estonia</w:t>
      </w:r>
      <w:r w:rsidR="0017374C" w:rsidRPr="0017374C">
        <w:rPr>
          <w:iCs/>
          <w:lang w:val="en-US"/>
        </w:rPr>
        <w:t xml:space="preserve"> under the Convention</w:t>
      </w:r>
      <w:r w:rsidR="000B34C5">
        <w:rPr>
          <w:iCs/>
          <w:lang w:val="en-US"/>
        </w:rPr>
        <w:t xml:space="preserve"> on </w:t>
      </w:r>
      <w:r w:rsidR="000B34C5" w:rsidRPr="0017374C">
        <w:rPr>
          <w:iCs/>
          <w:lang w:val="en-US"/>
        </w:rPr>
        <w:t>the rights of persons with disabilities</w:t>
      </w:r>
      <w:r w:rsidR="0017374C" w:rsidRPr="0017374C">
        <w:rPr>
          <w:iCs/>
          <w:lang w:val="en-US"/>
        </w:rPr>
        <w:t xml:space="preserve">. </w:t>
      </w:r>
      <w:r w:rsidR="000B34C5">
        <w:rPr>
          <w:iCs/>
          <w:lang w:val="en-US"/>
        </w:rPr>
        <w:t xml:space="preserve">Estonia </w:t>
      </w:r>
      <w:r w:rsidR="0017374C" w:rsidRPr="0017374C">
        <w:rPr>
          <w:iCs/>
          <w:lang w:val="en-US"/>
        </w:rPr>
        <w:t xml:space="preserve">should </w:t>
      </w:r>
      <w:r w:rsidR="000B34C5">
        <w:rPr>
          <w:iCs/>
          <w:lang w:val="en-US"/>
        </w:rPr>
        <w:t xml:space="preserve">also </w:t>
      </w:r>
      <w:r w:rsidR="0017374C" w:rsidRPr="0017374C">
        <w:rPr>
          <w:iCs/>
          <w:lang w:val="en-US"/>
        </w:rPr>
        <w:t>involve organizations of persons with disabilities in the design and implementation o</w:t>
      </w:r>
      <w:r w:rsidR="000B34C5">
        <w:rPr>
          <w:iCs/>
          <w:lang w:val="en-US"/>
        </w:rPr>
        <w:t xml:space="preserve">f training for public officials </w:t>
      </w:r>
      <w:r w:rsidR="0017374C">
        <w:rPr>
          <w:iCs/>
          <w:lang w:val="en-US"/>
        </w:rPr>
        <w:t>(</w:t>
      </w:r>
      <w:hyperlink r:id="rId9" w:history="1">
        <w:r w:rsidR="0017374C" w:rsidRPr="0017374C">
          <w:rPr>
            <w:rStyle w:val="Hyperlink"/>
            <w:iCs/>
            <w:lang w:val="en-US"/>
          </w:rPr>
          <w:t>CRPD/C/EST/CO/1</w:t>
        </w:r>
      </w:hyperlink>
      <w:r w:rsidR="0017374C">
        <w:rPr>
          <w:iCs/>
          <w:lang w:val="en-US"/>
        </w:rPr>
        <w:t>, para</w:t>
      </w:r>
      <w:r w:rsidR="000B34C5">
        <w:rPr>
          <w:iCs/>
          <w:lang w:val="en-US"/>
        </w:rPr>
        <w:t>s</w:t>
      </w:r>
      <w:r w:rsidR="00703E0C">
        <w:rPr>
          <w:iCs/>
          <w:lang w:val="en-US"/>
        </w:rPr>
        <w:t>.</w:t>
      </w:r>
      <w:r w:rsidR="000B34C5">
        <w:rPr>
          <w:iCs/>
          <w:lang w:val="en-US"/>
        </w:rPr>
        <w:t xml:space="preserve"> 7e, 8e</w:t>
      </w:r>
      <w:r w:rsidR="0017374C">
        <w:rPr>
          <w:iCs/>
          <w:lang w:val="en-US"/>
        </w:rPr>
        <w:t>)</w:t>
      </w:r>
      <w:r w:rsidR="000B34C5">
        <w:rPr>
          <w:iCs/>
          <w:lang w:val="en-US"/>
        </w:rPr>
        <w:t>.</w:t>
      </w:r>
    </w:p>
    <w:p w14:paraId="42CB6993" w14:textId="2BB429BB" w:rsidR="00694C36" w:rsidRDefault="00694C36" w:rsidP="00FF5A3B">
      <w:pPr>
        <w:widowControl w:val="0"/>
        <w:tabs>
          <w:tab w:val="left" w:pos="1216"/>
        </w:tabs>
        <w:autoSpaceDE w:val="0"/>
        <w:autoSpaceDN w:val="0"/>
        <w:spacing w:before="120" w:after="0" w:line="240" w:lineRule="auto"/>
        <w:ind w:right="239"/>
        <w:rPr>
          <w:i/>
          <w:lang w:val="en-US"/>
        </w:rPr>
      </w:pPr>
      <w:r>
        <w:rPr>
          <w:i/>
          <w:lang w:val="en-US"/>
        </w:rPr>
        <w:t>14</w:t>
      </w:r>
      <w:proofErr w:type="gramStart"/>
      <w:r>
        <w:rPr>
          <w:i/>
          <w:lang w:val="en-US"/>
        </w:rPr>
        <w:t>.</w:t>
      </w:r>
      <w:r w:rsidRPr="00694C36">
        <w:rPr>
          <w:i/>
          <w:lang w:val="en-US"/>
        </w:rPr>
        <w:t>Digitalisation</w:t>
      </w:r>
      <w:proofErr w:type="gramEnd"/>
      <w:r w:rsidRPr="00694C36">
        <w:rPr>
          <w:i/>
          <w:lang w:val="en-US"/>
        </w:rPr>
        <w:t xml:space="preserve"> (e.g. use of digital technology, particularly electronic communication tools, within the justice system and with court users, including resilience of justice systems in COVID-19</w:t>
      </w:r>
      <w:r w:rsidRPr="00694C36">
        <w:rPr>
          <w:i/>
          <w:spacing w:val="1"/>
          <w:lang w:val="en-US"/>
        </w:rPr>
        <w:t xml:space="preserve"> </w:t>
      </w:r>
      <w:r w:rsidRPr="00694C36">
        <w:rPr>
          <w:i/>
          <w:lang w:val="en-US"/>
        </w:rPr>
        <w:t>pandemic)</w:t>
      </w:r>
      <w:r>
        <w:rPr>
          <w:rStyle w:val="FootnoteReference"/>
          <w:i/>
        </w:rPr>
        <w:footnoteReference w:id="1"/>
      </w:r>
      <w:r w:rsidRPr="00694C36">
        <w:rPr>
          <w:i/>
          <w:lang w:val="en-US"/>
        </w:rPr>
        <w:t xml:space="preserve"> </w:t>
      </w:r>
    </w:p>
    <w:p w14:paraId="48124F12" w14:textId="454026E6" w:rsidR="00703E0C" w:rsidRPr="00703E0C" w:rsidRDefault="00703E0C" w:rsidP="00703E0C">
      <w:pPr>
        <w:widowControl w:val="0"/>
        <w:tabs>
          <w:tab w:val="left" w:pos="1216"/>
        </w:tabs>
        <w:autoSpaceDE w:val="0"/>
        <w:autoSpaceDN w:val="0"/>
        <w:spacing w:before="120" w:after="0" w:line="240" w:lineRule="auto"/>
        <w:ind w:right="239"/>
        <w:jc w:val="both"/>
        <w:rPr>
          <w:lang w:val="en-US"/>
        </w:rPr>
      </w:pPr>
      <w:r w:rsidRPr="00703E0C">
        <w:rPr>
          <w:lang w:val="en-US"/>
        </w:rPr>
        <w:t xml:space="preserve">In April 2021, the Special Rapporteur on the independence of judges and lawyers in his report on “The coronavirus disease (COVID-19) pandemic: impact and challenges for independent justice” noted that private and separate virtual chambers were set up in order to facilitate private meetings </w:t>
      </w:r>
      <w:r w:rsidRPr="00703E0C">
        <w:rPr>
          <w:lang w:val="en-US"/>
        </w:rPr>
        <w:lastRenderedPageBreak/>
        <w:t>and discussions between lawye</w:t>
      </w:r>
      <w:r>
        <w:rPr>
          <w:lang w:val="en-US"/>
        </w:rPr>
        <w:t xml:space="preserve">rs and their clients in Estonia </w:t>
      </w:r>
      <w:r w:rsidRPr="00703E0C">
        <w:rPr>
          <w:lang w:val="en-US"/>
        </w:rPr>
        <w:t>(</w:t>
      </w:r>
      <w:hyperlink r:id="rId10" w:history="1">
        <w:r w:rsidRPr="00703E0C">
          <w:rPr>
            <w:rStyle w:val="Hyperlink"/>
            <w:lang w:val="en-US"/>
          </w:rPr>
          <w:t>A/HRC/47/35</w:t>
        </w:r>
      </w:hyperlink>
      <w:r w:rsidRPr="00703E0C">
        <w:rPr>
          <w:lang w:val="en-US"/>
        </w:rPr>
        <w:t>, para</w:t>
      </w:r>
      <w:r>
        <w:rPr>
          <w:lang w:val="en-US"/>
        </w:rPr>
        <w:t>.</w:t>
      </w:r>
      <w:r w:rsidRPr="00703E0C">
        <w:rPr>
          <w:lang w:val="en-US"/>
        </w:rPr>
        <w:t xml:space="preserve"> 92)</w:t>
      </w:r>
      <w:r>
        <w:rPr>
          <w:lang w:val="en-US"/>
        </w:rPr>
        <w:t>.</w:t>
      </w:r>
    </w:p>
    <w:p w14:paraId="39B1BB08" w14:textId="77777777" w:rsidR="00703E0C" w:rsidRPr="00703E0C" w:rsidRDefault="00703E0C" w:rsidP="00FF5A3B">
      <w:pPr>
        <w:widowControl w:val="0"/>
        <w:tabs>
          <w:tab w:val="left" w:pos="1216"/>
        </w:tabs>
        <w:autoSpaceDE w:val="0"/>
        <w:autoSpaceDN w:val="0"/>
        <w:spacing w:before="120" w:after="0" w:line="240" w:lineRule="auto"/>
        <w:ind w:right="239"/>
        <w:rPr>
          <w:lang w:val="en-US"/>
        </w:rPr>
      </w:pPr>
    </w:p>
    <w:p w14:paraId="2F09CC61" w14:textId="77777777" w:rsidR="001B7CA2" w:rsidRPr="001B7CA2" w:rsidRDefault="001B7CA2" w:rsidP="001B7CA2">
      <w:pPr>
        <w:rPr>
          <w:lang w:val="en-GB"/>
        </w:rPr>
      </w:pPr>
      <w:r w:rsidRPr="001B7CA2">
        <w:rPr>
          <w:b/>
          <w:bCs/>
          <w:lang w:val="en-GB"/>
        </w:rPr>
        <w:t xml:space="preserve">III. Media pluralism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3A211BEA" w:rsidR="001B7CA2" w:rsidRDefault="001B7CA2" w:rsidP="001B7CA2">
      <w:pPr>
        <w:rPr>
          <w:i/>
          <w:iCs/>
          <w:lang w:val="en-GB"/>
        </w:rPr>
      </w:pPr>
      <w:r w:rsidRPr="001B7CA2">
        <w:rPr>
          <w:i/>
          <w:iCs/>
          <w:lang w:val="en-GB"/>
        </w:rPr>
        <w:t>4</w:t>
      </w:r>
      <w:r w:rsidR="00DC49B7">
        <w:rPr>
          <w:i/>
          <w:iCs/>
          <w:lang w:val="en-GB"/>
        </w:rPr>
        <w:t>3</w:t>
      </w:r>
      <w:r w:rsidRPr="001B7CA2">
        <w:rPr>
          <w:i/>
          <w:iCs/>
          <w:lang w:val="en-GB"/>
        </w:rPr>
        <w:t>. Independence, capacity and powers of national human rights institutions (‘NHRIs’), of ombudsman institutions if different from NHRIs, of equality bodies if different from NHRIs and of supreme audit institutions</w:t>
      </w:r>
    </w:p>
    <w:p w14:paraId="2338B20E" w14:textId="59CAC779" w:rsidR="006F487A" w:rsidRPr="006F487A" w:rsidRDefault="000B34C5" w:rsidP="0033582B">
      <w:pPr>
        <w:jc w:val="both"/>
        <w:rPr>
          <w:lang w:val="en-GB"/>
        </w:rPr>
      </w:pPr>
      <w:proofErr w:type="gramStart"/>
      <w:r>
        <w:rPr>
          <w:lang w:val="en-GB"/>
        </w:rPr>
        <w:t xml:space="preserve">During the 2021 </w:t>
      </w:r>
      <w:r w:rsidR="006F487A" w:rsidRPr="006F487A">
        <w:rPr>
          <w:lang w:val="en-GB"/>
        </w:rPr>
        <w:t>Universal Periodic</w:t>
      </w:r>
      <w:r w:rsidR="006F487A">
        <w:rPr>
          <w:lang w:val="en-GB"/>
        </w:rPr>
        <w:t xml:space="preserve"> </w:t>
      </w:r>
      <w:r w:rsidR="006F487A" w:rsidRPr="006F487A">
        <w:rPr>
          <w:lang w:val="en-GB"/>
        </w:rPr>
        <w:t>Review</w:t>
      </w:r>
      <w:r>
        <w:rPr>
          <w:lang w:val="en-GB"/>
        </w:rPr>
        <w:t xml:space="preserve">, </w:t>
      </w:r>
      <w:r w:rsidR="006F487A">
        <w:rPr>
          <w:lang w:val="en-GB"/>
        </w:rPr>
        <w:t xml:space="preserve">Estonia </w:t>
      </w:r>
      <w:r>
        <w:rPr>
          <w:lang w:val="en-GB"/>
        </w:rPr>
        <w:t xml:space="preserve">accepted recommendations </w:t>
      </w:r>
      <w:r w:rsidR="006F487A">
        <w:rPr>
          <w:lang w:val="en-GB"/>
        </w:rPr>
        <w:t xml:space="preserve">to take </w:t>
      </w:r>
      <w:r w:rsidR="006F487A" w:rsidRPr="006F487A">
        <w:rPr>
          <w:lang w:val="en-GB"/>
        </w:rPr>
        <w:t>measures to strengthen the national human rights institution</w:t>
      </w:r>
      <w:r w:rsidR="006F487A">
        <w:rPr>
          <w:lang w:val="en-GB"/>
        </w:rPr>
        <w:t xml:space="preserve"> and </w:t>
      </w:r>
      <w:r w:rsidR="001C1837">
        <w:rPr>
          <w:lang w:val="en-GB"/>
        </w:rPr>
        <w:t>its</w:t>
      </w:r>
      <w:r w:rsidR="006F487A">
        <w:rPr>
          <w:lang w:val="en-GB"/>
        </w:rPr>
        <w:t xml:space="preserve"> independence</w:t>
      </w:r>
      <w:r w:rsidR="006F487A" w:rsidRPr="006F487A">
        <w:rPr>
          <w:lang w:val="en-US"/>
        </w:rPr>
        <w:t xml:space="preserve"> </w:t>
      </w:r>
      <w:r w:rsidR="006F487A" w:rsidRPr="006F487A">
        <w:rPr>
          <w:lang w:val="en-GB"/>
        </w:rPr>
        <w:t xml:space="preserve">to ensure that </w:t>
      </w:r>
      <w:r w:rsidR="001C1837">
        <w:rPr>
          <w:lang w:val="en-GB"/>
        </w:rPr>
        <w:t>it</w:t>
      </w:r>
      <w:r w:rsidR="006F487A" w:rsidRPr="006F487A">
        <w:rPr>
          <w:lang w:val="en-GB"/>
        </w:rPr>
        <w:t xml:space="preserve"> fully </w:t>
      </w:r>
      <w:r w:rsidR="006F487A">
        <w:rPr>
          <w:lang w:val="en-GB"/>
        </w:rPr>
        <w:t>a</w:t>
      </w:r>
      <w:r w:rsidR="006F487A" w:rsidRPr="006F487A">
        <w:rPr>
          <w:lang w:val="en-GB"/>
        </w:rPr>
        <w:t>li</w:t>
      </w:r>
      <w:r w:rsidR="006F487A">
        <w:rPr>
          <w:lang w:val="en-GB"/>
        </w:rPr>
        <w:t>gn</w:t>
      </w:r>
      <w:r w:rsidR="001C1837">
        <w:rPr>
          <w:lang w:val="en-GB"/>
        </w:rPr>
        <w:t>s</w:t>
      </w:r>
      <w:r w:rsidR="006F487A" w:rsidRPr="006F487A">
        <w:rPr>
          <w:lang w:val="en-GB"/>
        </w:rPr>
        <w:t xml:space="preserve"> with the Paris Principles</w:t>
      </w:r>
      <w:r w:rsidR="00703E0C">
        <w:rPr>
          <w:lang w:val="en-GB"/>
        </w:rPr>
        <w:t xml:space="preserve"> while </w:t>
      </w:r>
      <w:r w:rsidR="006F487A">
        <w:rPr>
          <w:lang w:val="en-GB"/>
        </w:rPr>
        <w:t>stating that t</w:t>
      </w:r>
      <w:r w:rsidR="00703E0C">
        <w:rPr>
          <w:lang w:val="en-GB"/>
        </w:rPr>
        <w:t xml:space="preserve">he Chancellor of Justice </w:t>
      </w:r>
      <w:r w:rsidR="0059455D">
        <w:rPr>
          <w:lang w:val="en-GB"/>
        </w:rPr>
        <w:t>fulfilled</w:t>
      </w:r>
      <w:r w:rsidR="006F487A" w:rsidRPr="006F487A">
        <w:rPr>
          <w:lang w:val="en-GB"/>
        </w:rPr>
        <w:t xml:space="preserve"> the functions of the national human rights institute in</w:t>
      </w:r>
      <w:r w:rsidR="006F487A">
        <w:rPr>
          <w:lang w:val="en-GB"/>
        </w:rPr>
        <w:t xml:space="preserve"> </w:t>
      </w:r>
      <w:r w:rsidR="006F487A" w:rsidRPr="006F487A">
        <w:rPr>
          <w:lang w:val="en-GB"/>
        </w:rPr>
        <w:t>accordance with Paris Principles and in 2020 receiv</w:t>
      </w:r>
      <w:r w:rsidR="00703E0C">
        <w:rPr>
          <w:lang w:val="en-GB"/>
        </w:rPr>
        <w:t xml:space="preserve">ed  “A” status accreditation </w:t>
      </w:r>
      <w:r w:rsidR="006F487A">
        <w:rPr>
          <w:lang w:val="en-GB"/>
        </w:rPr>
        <w:t>(</w:t>
      </w:r>
      <w:hyperlink r:id="rId11" w:history="1">
        <w:r w:rsidR="006F487A" w:rsidRPr="006F487A">
          <w:rPr>
            <w:rStyle w:val="Hyperlink"/>
            <w:lang w:val="en-GB"/>
          </w:rPr>
          <w:t>A/HRC/48/7/Add.1</w:t>
        </w:r>
      </w:hyperlink>
      <w:r w:rsidR="00E10EEC">
        <w:rPr>
          <w:lang w:val="en-GB"/>
        </w:rPr>
        <w:t>,</w:t>
      </w:r>
      <w:r w:rsidR="00723E69">
        <w:rPr>
          <w:lang w:val="en-GB"/>
        </w:rPr>
        <w:t xml:space="preserve"> </w:t>
      </w:r>
      <w:r w:rsidR="00E10EEC">
        <w:rPr>
          <w:lang w:val="en-GB"/>
        </w:rPr>
        <w:t>p</w:t>
      </w:r>
      <w:r w:rsidR="00BD6F4B">
        <w:rPr>
          <w:lang w:val="en-GB"/>
        </w:rPr>
        <w:t>aras</w:t>
      </w:r>
      <w:r w:rsidR="00E10EEC">
        <w:rPr>
          <w:lang w:val="en-GB"/>
        </w:rPr>
        <w:t>.</w:t>
      </w:r>
      <w:r w:rsidR="00D47E6A">
        <w:rPr>
          <w:lang w:val="en-GB"/>
        </w:rPr>
        <w:t xml:space="preserve"> </w:t>
      </w:r>
      <w:bookmarkStart w:id="0" w:name="_GoBack"/>
      <w:bookmarkEnd w:id="0"/>
      <w:r w:rsidR="00E10EEC">
        <w:rPr>
          <w:lang w:val="en-GB"/>
        </w:rPr>
        <w:t>2-3)</w:t>
      </w:r>
      <w:r w:rsidR="00703E0C">
        <w:rPr>
          <w:lang w:val="en-GB"/>
        </w:rPr>
        <w:t>.</w:t>
      </w:r>
      <w:proofErr w:type="gramEnd"/>
    </w:p>
    <w:p w14:paraId="2BB2DCBD" w14:textId="2D210609" w:rsidR="00E87A2E" w:rsidRDefault="00E87A2E" w:rsidP="00E87A2E">
      <w:pPr>
        <w:pStyle w:val="Header"/>
        <w:rPr>
          <w:lang w:val="en-US"/>
        </w:rPr>
      </w:pPr>
    </w:p>
    <w:p w14:paraId="7E55338D" w14:textId="77777777" w:rsidR="001B7CA2" w:rsidRPr="00E87A2E" w:rsidRDefault="001B7CA2" w:rsidP="00E75F98">
      <w:pPr>
        <w:jc w:val="both"/>
        <w:rPr>
          <w:rFonts w:cstheme="minorHAnsi"/>
          <w:lang w:val="en-US"/>
        </w:rPr>
      </w:pPr>
    </w:p>
    <w:p w14:paraId="6B297B43" w14:textId="77777777" w:rsidR="00E75F98" w:rsidRPr="00E75F98" w:rsidRDefault="00E75F98" w:rsidP="00E75F98">
      <w:pPr>
        <w:jc w:val="both"/>
        <w:rPr>
          <w:rFonts w:eastAsia="Calibri" w:cstheme="minorHAnsi"/>
          <w:lang w:val="en-GB"/>
        </w:rPr>
      </w:pPr>
    </w:p>
    <w:p w14:paraId="7B6D14DD" w14:textId="77777777" w:rsidR="008C7A94" w:rsidRPr="008C7A94" w:rsidRDefault="008C7A94" w:rsidP="008C7A94">
      <w:pPr>
        <w:rPr>
          <w:b/>
          <w:bCs/>
          <w:lang w:val="en-GB"/>
        </w:rPr>
      </w:pP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12"/>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A3DFA" w14:textId="77777777" w:rsidR="000D21C4" w:rsidRDefault="000D21C4" w:rsidP="00AB6BD8">
      <w:pPr>
        <w:spacing w:after="0" w:line="240" w:lineRule="auto"/>
      </w:pPr>
      <w:r>
        <w:separator/>
      </w:r>
    </w:p>
  </w:endnote>
  <w:endnote w:type="continuationSeparator" w:id="0">
    <w:p w14:paraId="325666BE" w14:textId="77777777" w:rsidR="000D21C4" w:rsidRDefault="000D21C4"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572FEEA3" w:rsidR="00ED7A10" w:rsidRDefault="00ED7A10">
        <w:pPr>
          <w:pStyle w:val="Footer"/>
          <w:jc w:val="center"/>
        </w:pPr>
        <w:r>
          <w:fldChar w:fldCharType="begin"/>
        </w:r>
        <w:r>
          <w:instrText>PAGE   \* MERGEFORMAT</w:instrText>
        </w:r>
        <w:r>
          <w:fldChar w:fldCharType="separate"/>
        </w:r>
        <w:r w:rsidR="00D47E6A" w:rsidRPr="00D47E6A">
          <w:rPr>
            <w:noProof/>
            <w:lang w:val="fr-FR"/>
          </w:rPr>
          <w:t>2</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953E4" w14:textId="77777777" w:rsidR="000D21C4" w:rsidRDefault="000D21C4" w:rsidP="00AB6BD8">
      <w:pPr>
        <w:spacing w:after="0" w:line="240" w:lineRule="auto"/>
      </w:pPr>
      <w:r>
        <w:separator/>
      </w:r>
    </w:p>
  </w:footnote>
  <w:footnote w:type="continuationSeparator" w:id="0">
    <w:p w14:paraId="3B832C9D" w14:textId="77777777" w:rsidR="000D21C4" w:rsidRDefault="000D21C4" w:rsidP="00AB6BD8">
      <w:pPr>
        <w:spacing w:after="0" w:line="240" w:lineRule="auto"/>
      </w:pPr>
      <w:r>
        <w:continuationSeparator/>
      </w:r>
    </w:p>
  </w:footnote>
  <w:footnote w:id="1">
    <w:p w14:paraId="169ABA45" w14:textId="77777777" w:rsidR="00694C36" w:rsidRPr="00694C36" w:rsidRDefault="00694C36" w:rsidP="00694C36">
      <w:pPr>
        <w:pStyle w:val="FootnoteText"/>
        <w:rPr>
          <w:lang w:val="en-US"/>
        </w:rPr>
      </w:pPr>
      <w:r>
        <w:rPr>
          <w:rStyle w:val="FootnoteReference"/>
        </w:rPr>
        <w:footnoteRef/>
      </w:r>
      <w:r w:rsidRPr="00694C36">
        <w:rPr>
          <w:lang w:val="en-US"/>
        </w:rPr>
        <w:t xml:space="preserve"> </w:t>
      </w:r>
      <w:r w:rsidRPr="00694C36">
        <w:rPr>
          <w:sz w:val="18"/>
          <w:lang w:val="en-US"/>
        </w:rPr>
        <w:t xml:space="preserve">Factual information presented in Commission Staff Working Document of 2 December 2020, SWD(2020) 540 final, accompanying the Communication on </w:t>
      </w:r>
      <w:proofErr w:type="spellStart"/>
      <w:r w:rsidRPr="00694C36">
        <w:rPr>
          <w:sz w:val="18"/>
          <w:lang w:val="en-US"/>
        </w:rPr>
        <w:t>Digitalisation</w:t>
      </w:r>
      <w:proofErr w:type="spellEnd"/>
      <w:r w:rsidRPr="00694C36">
        <w:rPr>
          <w:sz w:val="18"/>
          <w:lang w:val="en-US"/>
        </w:rPr>
        <w:t xml:space="preserve"> of justice in the European Union, COM(2020) 710 final, does not need to be repeated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1"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1"/>
  </w:num>
  <w:num w:numId="5">
    <w:abstractNumId w:val="3"/>
  </w:num>
  <w:num w:numId="6">
    <w:abstractNumId w:val="5"/>
  </w:num>
  <w:num w:numId="7">
    <w:abstractNumId w:val="9"/>
  </w:num>
  <w:num w:numId="8">
    <w:abstractNumId w:val="8"/>
  </w:num>
  <w:num w:numId="9">
    <w:abstractNumId w:val="10"/>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BE" w:vendorID="64" w:dllVersion="131078" w:nlCheck="1" w:checkStyle="0"/>
  <w:activeWritingStyle w:appName="MSWord" w:lang="fr-FR"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555C4"/>
    <w:rsid w:val="00094650"/>
    <w:rsid w:val="000B034D"/>
    <w:rsid w:val="000B34C5"/>
    <w:rsid w:val="000D06BF"/>
    <w:rsid w:val="000D21C4"/>
    <w:rsid w:val="000E3E0A"/>
    <w:rsid w:val="000E4ACA"/>
    <w:rsid w:val="000E4D1E"/>
    <w:rsid w:val="000E58CC"/>
    <w:rsid w:val="000F7447"/>
    <w:rsid w:val="000F74F4"/>
    <w:rsid w:val="001010BF"/>
    <w:rsid w:val="00102288"/>
    <w:rsid w:val="00125B2C"/>
    <w:rsid w:val="00137F92"/>
    <w:rsid w:val="00144770"/>
    <w:rsid w:val="00147BF9"/>
    <w:rsid w:val="0015004A"/>
    <w:rsid w:val="00152098"/>
    <w:rsid w:val="00165AFF"/>
    <w:rsid w:val="0017374C"/>
    <w:rsid w:val="001868E0"/>
    <w:rsid w:val="00195595"/>
    <w:rsid w:val="001A17C6"/>
    <w:rsid w:val="001B7CA2"/>
    <w:rsid w:val="001C1837"/>
    <w:rsid w:val="001C79A2"/>
    <w:rsid w:val="001C7CCF"/>
    <w:rsid w:val="001E08DC"/>
    <w:rsid w:val="001E0C79"/>
    <w:rsid w:val="001E2105"/>
    <w:rsid w:val="002057FA"/>
    <w:rsid w:val="00206A47"/>
    <w:rsid w:val="00221C79"/>
    <w:rsid w:val="00231F28"/>
    <w:rsid w:val="00235A91"/>
    <w:rsid w:val="002430D2"/>
    <w:rsid w:val="0024664D"/>
    <w:rsid w:val="00251082"/>
    <w:rsid w:val="00252C8E"/>
    <w:rsid w:val="002668EA"/>
    <w:rsid w:val="00275AE3"/>
    <w:rsid w:val="00293C29"/>
    <w:rsid w:val="00294805"/>
    <w:rsid w:val="002953FF"/>
    <w:rsid w:val="002969C5"/>
    <w:rsid w:val="002C15AB"/>
    <w:rsid w:val="002C4AD7"/>
    <w:rsid w:val="002D45D1"/>
    <w:rsid w:val="0030165D"/>
    <w:rsid w:val="00334386"/>
    <w:rsid w:val="0033582B"/>
    <w:rsid w:val="003619BB"/>
    <w:rsid w:val="00364DD8"/>
    <w:rsid w:val="00383787"/>
    <w:rsid w:val="003843E1"/>
    <w:rsid w:val="0038485A"/>
    <w:rsid w:val="0039389B"/>
    <w:rsid w:val="003B4F07"/>
    <w:rsid w:val="003B6352"/>
    <w:rsid w:val="003F19B1"/>
    <w:rsid w:val="00405880"/>
    <w:rsid w:val="00445679"/>
    <w:rsid w:val="00447DF5"/>
    <w:rsid w:val="00451BE5"/>
    <w:rsid w:val="00454588"/>
    <w:rsid w:val="00462100"/>
    <w:rsid w:val="0046228F"/>
    <w:rsid w:val="004809CC"/>
    <w:rsid w:val="00491A44"/>
    <w:rsid w:val="004A0573"/>
    <w:rsid w:val="004B60DD"/>
    <w:rsid w:val="004C0B1F"/>
    <w:rsid w:val="004E2A0C"/>
    <w:rsid w:val="004E5D2F"/>
    <w:rsid w:val="0052134B"/>
    <w:rsid w:val="00561741"/>
    <w:rsid w:val="00572CAC"/>
    <w:rsid w:val="00572D29"/>
    <w:rsid w:val="00576122"/>
    <w:rsid w:val="00592F7B"/>
    <w:rsid w:val="005936DA"/>
    <w:rsid w:val="0059455D"/>
    <w:rsid w:val="00595A34"/>
    <w:rsid w:val="005A53B1"/>
    <w:rsid w:val="005C4199"/>
    <w:rsid w:val="00600F16"/>
    <w:rsid w:val="0061181D"/>
    <w:rsid w:val="00621476"/>
    <w:rsid w:val="00633DEB"/>
    <w:rsid w:val="0064596A"/>
    <w:rsid w:val="00653649"/>
    <w:rsid w:val="00656276"/>
    <w:rsid w:val="006569A4"/>
    <w:rsid w:val="0066480F"/>
    <w:rsid w:val="00694C36"/>
    <w:rsid w:val="006B2EEF"/>
    <w:rsid w:val="006F10BF"/>
    <w:rsid w:val="006F487A"/>
    <w:rsid w:val="00703E0C"/>
    <w:rsid w:val="00723E69"/>
    <w:rsid w:val="00726393"/>
    <w:rsid w:val="0074007C"/>
    <w:rsid w:val="007467E2"/>
    <w:rsid w:val="00753FA0"/>
    <w:rsid w:val="00761C86"/>
    <w:rsid w:val="0079724B"/>
    <w:rsid w:val="007D7490"/>
    <w:rsid w:val="007F1F30"/>
    <w:rsid w:val="007F529E"/>
    <w:rsid w:val="0080379C"/>
    <w:rsid w:val="00812CA6"/>
    <w:rsid w:val="00815599"/>
    <w:rsid w:val="00820269"/>
    <w:rsid w:val="00824724"/>
    <w:rsid w:val="0083739F"/>
    <w:rsid w:val="008526FE"/>
    <w:rsid w:val="008628EF"/>
    <w:rsid w:val="00867498"/>
    <w:rsid w:val="00867CBB"/>
    <w:rsid w:val="0088139C"/>
    <w:rsid w:val="008A1B74"/>
    <w:rsid w:val="008A7229"/>
    <w:rsid w:val="008B50CB"/>
    <w:rsid w:val="008B5DE9"/>
    <w:rsid w:val="008C4411"/>
    <w:rsid w:val="008C7A94"/>
    <w:rsid w:val="008D7F8C"/>
    <w:rsid w:val="008E4FD7"/>
    <w:rsid w:val="008E537C"/>
    <w:rsid w:val="008F5F0F"/>
    <w:rsid w:val="008F689A"/>
    <w:rsid w:val="00916B8E"/>
    <w:rsid w:val="00923EBE"/>
    <w:rsid w:val="009441AD"/>
    <w:rsid w:val="00951DEB"/>
    <w:rsid w:val="00962913"/>
    <w:rsid w:val="0096772C"/>
    <w:rsid w:val="00991323"/>
    <w:rsid w:val="00997215"/>
    <w:rsid w:val="009C040C"/>
    <w:rsid w:val="009C6B9F"/>
    <w:rsid w:val="009D1508"/>
    <w:rsid w:val="009E48E9"/>
    <w:rsid w:val="00A0790E"/>
    <w:rsid w:val="00A1060B"/>
    <w:rsid w:val="00A118BB"/>
    <w:rsid w:val="00A2011E"/>
    <w:rsid w:val="00A33884"/>
    <w:rsid w:val="00A47B7D"/>
    <w:rsid w:val="00A8576F"/>
    <w:rsid w:val="00A95DE7"/>
    <w:rsid w:val="00AB39DD"/>
    <w:rsid w:val="00AB4073"/>
    <w:rsid w:val="00AB6BD8"/>
    <w:rsid w:val="00AC14E8"/>
    <w:rsid w:val="00AD14BD"/>
    <w:rsid w:val="00AD5BC2"/>
    <w:rsid w:val="00AE13F5"/>
    <w:rsid w:val="00AF33F6"/>
    <w:rsid w:val="00AF4734"/>
    <w:rsid w:val="00AF6778"/>
    <w:rsid w:val="00B06121"/>
    <w:rsid w:val="00B1077E"/>
    <w:rsid w:val="00B3376B"/>
    <w:rsid w:val="00B4482C"/>
    <w:rsid w:val="00B54E3F"/>
    <w:rsid w:val="00B669A0"/>
    <w:rsid w:val="00B837B5"/>
    <w:rsid w:val="00B8626C"/>
    <w:rsid w:val="00B92E78"/>
    <w:rsid w:val="00B93BA1"/>
    <w:rsid w:val="00B94426"/>
    <w:rsid w:val="00B9532B"/>
    <w:rsid w:val="00B97EC1"/>
    <w:rsid w:val="00BB67D7"/>
    <w:rsid w:val="00BB7A69"/>
    <w:rsid w:val="00BC1D9A"/>
    <w:rsid w:val="00BD6F4B"/>
    <w:rsid w:val="00BF199A"/>
    <w:rsid w:val="00C206C5"/>
    <w:rsid w:val="00C21B69"/>
    <w:rsid w:val="00C25048"/>
    <w:rsid w:val="00C34944"/>
    <w:rsid w:val="00C357C2"/>
    <w:rsid w:val="00C46DCD"/>
    <w:rsid w:val="00C5007B"/>
    <w:rsid w:val="00C87C9A"/>
    <w:rsid w:val="00C91D1B"/>
    <w:rsid w:val="00CB6ADD"/>
    <w:rsid w:val="00CB73BB"/>
    <w:rsid w:val="00CC6B37"/>
    <w:rsid w:val="00CD1815"/>
    <w:rsid w:val="00CD7A88"/>
    <w:rsid w:val="00CE4C75"/>
    <w:rsid w:val="00CF698C"/>
    <w:rsid w:val="00D002BC"/>
    <w:rsid w:val="00D027D9"/>
    <w:rsid w:val="00D17788"/>
    <w:rsid w:val="00D27CBD"/>
    <w:rsid w:val="00D47E6A"/>
    <w:rsid w:val="00D60B12"/>
    <w:rsid w:val="00D6657B"/>
    <w:rsid w:val="00D76481"/>
    <w:rsid w:val="00D776C3"/>
    <w:rsid w:val="00D848D8"/>
    <w:rsid w:val="00D87626"/>
    <w:rsid w:val="00DA2342"/>
    <w:rsid w:val="00DC04CC"/>
    <w:rsid w:val="00DC2228"/>
    <w:rsid w:val="00DC36E4"/>
    <w:rsid w:val="00DC49B7"/>
    <w:rsid w:val="00DC5B32"/>
    <w:rsid w:val="00DD1A75"/>
    <w:rsid w:val="00DD51BC"/>
    <w:rsid w:val="00DE2240"/>
    <w:rsid w:val="00DF181A"/>
    <w:rsid w:val="00E10EEC"/>
    <w:rsid w:val="00E14E2A"/>
    <w:rsid w:val="00E33076"/>
    <w:rsid w:val="00E70E81"/>
    <w:rsid w:val="00E7390A"/>
    <w:rsid w:val="00E7579B"/>
    <w:rsid w:val="00E75F98"/>
    <w:rsid w:val="00E85BC4"/>
    <w:rsid w:val="00E87A2E"/>
    <w:rsid w:val="00E92C99"/>
    <w:rsid w:val="00E943EC"/>
    <w:rsid w:val="00EA5201"/>
    <w:rsid w:val="00EB0581"/>
    <w:rsid w:val="00ED5335"/>
    <w:rsid w:val="00ED7A10"/>
    <w:rsid w:val="00EE0FD1"/>
    <w:rsid w:val="00EE6A52"/>
    <w:rsid w:val="00EF2BDF"/>
    <w:rsid w:val="00EF36D6"/>
    <w:rsid w:val="00EF4DF8"/>
    <w:rsid w:val="00F464F2"/>
    <w:rsid w:val="00F7351E"/>
    <w:rsid w:val="00F767DF"/>
    <w:rsid w:val="00F7725E"/>
    <w:rsid w:val="00FE1807"/>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character" w:customStyle="1" w:styleId="UnresolvedMention">
    <w:name w:val="Unresolved Mention"/>
    <w:basedOn w:val="DefaultParagraphFont"/>
    <w:uiPriority w:val="99"/>
    <w:semiHidden/>
    <w:unhideWhenUsed/>
    <w:rsid w:val="003B6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2714">
      <w:bodyDiv w:val="1"/>
      <w:marLeft w:val="0"/>
      <w:marRight w:val="0"/>
      <w:marTop w:val="0"/>
      <w:marBottom w:val="0"/>
      <w:divBdr>
        <w:top w:val="none" w:sz="0" w:space="0" w:color="auto"/>
        <w:left w:val="none" w:sz="0" w:space="0" w:color="auto"/>
        <w:bottom w:val="none" w:sz="0" w:space="0" w:color="auto"/>
        <w:right w:val="none" w:sz="0" w:space="0" w:color="auto"/>
      </w:divBdr>
      <w:divsChild>
        <w:div w:id="1387726321">
          <w:marLeft w:val="0"/>
          <w:marRight w:val="0"/>
          <w:marTop w:val="0"/>
          <w:marBottom w:val="0"/>
          <w:divBdr>
            <w:top w:val="none" w:sz="0" w:space="0" w:color="auto"/>
            <w:left w:val="none" w:sz="0" w:space="0" w:color="auto"/>
            <w:bottom w:val="none" w:sz="0" w:space="0" w:color="auto"/>
            <w:right w:val="none" w:sz="0" w:space="0" w:color="auto"/>
          </w:divBdr>
          <w:divsChild>
            <w:div w:id="280652256">
              <w:marLeft w:val="0"/>
              <w:marRight w:val="0"/>
              <w:marTop w:val="0"/>
              <w:marBottom w:val="0"/>
              <w:divBdr>
                <w:top w:val="none" w:sz="0" w:space="0" w:color="auto"/>
                <w:left w:val="none" w:sz="0" w:space="0" w:color="auto"/>
                <w:bottom w:val="none" w:sz="0" w:space="0" w:color="auto"/>
                <w:right w:val="none" w:sz="0" w:space="0" w:color="auto"/>
              </w:divBdr>
              <w:divsChild>
                <w:div w:id="174190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22335063">
      <w:bodyDiv w:val="1"/>
      <w:marLeft w:val="0"/>
      <w:marRight w:val="0"/>
      <w:marTop w:val="0"/>
      <w:marBottom w:val="0"/>
      <w:divBdr>
        <w:top w:val="none" w:sz="0" w:space="0" w:color="auto"/>
        <w:left w:val="none" w:sz="0" w:space="0" w:color="auto"/>
        <w:bottom w:val="none" w:sz="0" w:space="0" w:color="auto"/>
        <w:right w:val="none" w:sz="0" w:space="0" w:color="auto"/>
      </w:divBdr>
      <w:divsChild>
        <w:div w:id="34545583">
          <w:marLeft w:val="0"/>
          <w:marRight w:val="0"/>
          <w:marTop w:val="0"/>
          <w:marBottom w:val="0"/>
          <w:divBdr>
            <w:top w:val="none" w:sz="0" w:space="0" w:color="auto"/>
            <w:left w:val="none" w:sz="0" w:space="0" w:color="auto"/>
            <w:bottom w:val="none" w:sz="0" w:space="0" w:color="auto"/>
            <w:right w:val="none" w:sz="0" w:space="0" w:color="auto"/>
          </w:divBdr>
          <w:divsChild>
            <w:div w:id="509026226">
              <w:marLeft w:val="0"/>
              <w:marRight w:val="0"/>
              <w:marTop w:val="0"/>
              <w:marBottom w:val="0"/>
              <w:divBdr>
                <w:top w:val="none" w:sz="0" w:space="0" w:color="auto"/>
                <w:left w:val="none" w:sz="0" w:space="0" w:color="auto"/>
                <w:bottom w:val="none" w:sz="0" w:space="0" w:color="auto"/>
                <w:right w:val="none" w:sz="0" w:space="0" w:color="auto"/>
              </w:divBdr>
              <w:divsChild>
                <w:div w:id="129154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591553201">
      <w:bodyDiv w:val="1"/>
      <w:marLeft w:val="0"/>
      <w:marRight w:val="0"/>
      <w:marTop w:val="0"/>
      <w:marBottom w:val="0"/>
      <w:divBdr>
        <w:top w:val="none" w:sz="0" w:space="0" w:color="auto"/>
        <w:left w:val="none" w:sz="0" w:space="0" w:color="auto"/>
        <w:bottom w:val="none" w:sz="0" w:space="0" w:color="auto"/>
        <w:right w:val="none" w:sz="0" w:space="0" w:color="auto"/>
      </w:divBdr>
      <w:divsChild>
        <w:div w:id="628366075">
          <w:marLeft w:val="0"/>
          <w:marRight w:val="0"/>
          <w:marTop w:val="0"/>
          <w:marBottom w:val="0"/>
          <w:divBdr>
            <w:top w:val="none" w:sz="0" w:space="0" w:color="auto"/>
            <w:left w:val="none" w:sz="0" w:space="0" w:color="auto"/>
            <w:bottom w:val="none" w:sz="0" w:space="0" w:color="auto"/>
            <w:right w:val="none" w:sz="0" w:space="0" w:color="auto"/>
          </w:divBdr>
          <w:divsChild>
            <w:div w:id="554703835">
              <w:marLeft w:val="0"/>
              <w:marRight w:val="0"/>
              <w:marTop w:val="0"/>
              <w:marBottom w:val="0"/>
              <w:divBdr>
                <w:top w:val="none" w:sz="0" w:space="0" w:color="auto"/>
                <w:left w:val="none" w:sz="0" w:space="0" w:color="auto"/>
                <w:bottom w:val="none" w:sz="0" w:space="0" w:color="auto"/>
                <w:right w:val="none" w:sz="0" w:space="0" w:color="auto"/>
              </w:divBdr>
              <w:divsChild>
                <w:div w:id="77680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652414305">
      <w:bodyDiv w:val="1"/>
      <w:marLeft w:val="0"/>
      <w:marRight w:val="0"/>
      <w:marTop w:val="0"/>
      <w:marBottom w:val="0"/>
      <w:divBdr>
        <w:top w:val="none" w:sz="0" w:space="0" w:color="auto"/>
        <w:left w:val="none" w:sz="0" w:space="0" w:color="auto"/>
        <w:bottom w:val="none" w:sz="0" w:space="0" w:color="auto"/>
        <w:right w:val="none" w:sz="0" w:space="0" w:color="auto"/>
      </w:divBdr>
      <w:divsChild>
        <w:div w:id="1517844513">
          <w:marLeft w:val="0"/>
          <w:marRight w:val="0"/>
          <w:marTop w:val="0"/>
          <w:marBottom w:val="0"/>
          <w:divBdr>
            <w:top w:val="none" w:sz="0" w:space="0" w:color="auto"/>
            <w:left w:val="none" w:sz="0" w:space="0" w:color="auto"/>
            <w:bottom w:val="none" w:sz="0" w:space="0" w:color="auto"/>
            <w:right w:val="none" w:sz="0" w:space="0" w:color="auto"/>
          </w:divBdr>
          <w:divsChild>
            <w:div w:id="703406408">
              <w:marLeft w:val="0"/>
              <w:marRight w:val="0"/>
              <w:marTop w:val="0"/>
              <w:marBottom w:val="0"/>
              <w:divBdr>
                <w:top w:val="none" w:sz="0" w:space="0" w:color="auto"/>
                <w:left w:val="none" w:sz="0" w:space="0" w:color="auto"/>
                <w:bottom w:val="none" w:sz="0" w:space="0" w:color="auto"/>
                <w:right w:val="none" w:sz="0" w:space="0" w:color="auto"/>
              </w:divBdr>
              <w:divsChild>
                <w:div w:id="110206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784691174">
      <w:bodyDiv w:val="1"/>
      <w:marLeft w:val="0"/>
      <w:marRight w:val="0"/>
      <w:marTop w:val="0"/>
      <w:marBottom w:val="0"/>
      <w:divBdr>
        <w:top w:val="none" w:sz="0" w:space="0" w:color="auto"/>
        <w:left w:val="none" w:sz="0" w:space="0" w:color="auto"/>
        <w:bottom w:val="none" w:sz="0" w:space="0" w:color="auto"/>
        <w:right w:val="none" w:sz="0" w:space="0" w:color="auto"/>
      </w:divBdr>
    </w:div>
    <w:div w:id="815533929">
      <w:bodyDiv w:val="1"/>
      <w:marLeft w:val="0"/>
      <w:marRight w:val="0"/>
      <w:marTop w:val="0"/>
      <w:marBottom w:val="0"/>
      <w:divBdr>
        <w:top w:val="none" w:sz="0" w:space="0" w:color="auto"/>
        <w:left w:val="none" w:sz="0" w:space="0" w:color="auto"/>
        <w:bottom w:val="none" w:sz="0" w:space="0" w:color="auto"/>
        <w:right w:val="none" w:sz="0" w:space="0" w:color="auto"/>
      </w:divBdr>
    </w:div>
    <w:div w:id="833185956">
      <w:bodyDiv w:val="1"/>
      <w:marLeft w:val="0"/>
      <w:marRight w:val="0"/>
      <w:marTop w:val="0"/>
      <w:marBottom w:val="0"/>
      <w:divBdr>
        <w:top w:val="none" w:sz="0" w:space="0" w:color="auto"/>
        <w:left w:val="none" w:sz="0" w:space="0" w:color="auto"/>
        <w:bottom w:val="none" w:sz="0" w:space="0" w:color="auto"/>
        <w:right w:val="none" w:sz="0" w:space="0" w:color="auto"/>
      </w:divBdr>
      <w:divsChild>
        <w:div w:id="137578479">
          <w:marLeft w:val="0"/>
          <w:marRight w:val="0"/>
          <w:marTop w:val="0"/>
          <w:marBottom w:val="0"/>
          <w:divBdr>
            <w:top w:val="none" w:sz="0" w:space="0" w:color="auto"/>
            <w:left w:val="none" w:sz="0" w:space="0" w:color="auto"/>
            <w:bottom w:val="none" w:sz="0" w:space="0" w:color="auto"/>
            <w:right w:val="none" w:sz="0" w:space="0" w:color="auto"/>
          </w:divBdr>
          <w:divsChild>
            <w:div w:id="784080234">
              <w:marLeft w:val="0"/>
              <w:marRight w:val="0"/>
              <w:marTop w:val="0"/>
              <w:marBottom w:val="0"/>
              <w:divBdr>
                <w:top w:val="none" w:sz="0" w:space="0" w:color="auto"/>
                <w:left w:val="none" w:sz="0" w:space="0" w:color="auto"/>
                <w:bottom w:val="none" w:sz="0" w:space="0" w:color="auto"/>
                <w:right w:val="none" w:sz="0" w:space="0" w:color="auto"/>
              </w:divBdr>
              <w:divsChild>
                <w:div w:id="53080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353026">
      <w:bodyDiv w:val="1"/>
      <w:marLeft w:val="0"/>
      <w:marRight w:val="0"/>
      <w:marTop w:val="0"/>
      <w:marBottom w:val="0"/>
      <w:divBdr>
        <w:top w:val="none" w:sz="0" w:space="0" w:color="auto"/>
        <w:left w:val="none" w:sz="0" w:space="0" w:color="auto"/>
        <w:bottom w:val="none" w:sz="0" w:space="0" w:color="auto"/>
        <w:right w:val="none" w:sz="0" w:space="0" w:color="auto"/>
      </w:divBdr>
      <w:divsChild>
        <w:div w:id="1649432080">
          <w:marLeft w:val="0"/>
          <w:marRight w:val="0"/>
          <w:marTop w:val="0"/>
          <w:marBottom w:val="0"/>
          <w:divBdr>
            <w:top w:val="none" w:sz="0" w:space="0" w:color="auto"/>
            <w:left w:val="none" w:sz="0" w:space="0" w:color="auto"/>
            <w:bottom w:val="none" w:sz="0" w:space="0" w:color="auto"/>
            <w:right w:val="none" w:sz="0" w:space="0" w:color="auto"/>
          </w:divBdr>
          <w:divsChild>
            <w:div w:id="585919958">
              <w:marLeft w:val="0"/>
              <w:marRight w:val="0"/>
              <w:marTop w:val="0"/>
              <w:marBottom w:val="0"/>
              <w:divBdr>
                <w:top w:val="none" w:sz="0" w:space="0" w:color="auto"/>
                <w:left w:val="none" w:sz="0" w:space="0" w:color="auto"/>
                <w:bottom w:val="none" w:sz="0" w:space="0" w:color="auto"/>
                <w:right w:val="none" w:sz="0" w:space="0" w:color="auto"/>
              </w:divBdr>
              <w:divsChild>
                <w:div w:id="56533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070658">
      <w:bodyDiv w:val="1"/>
      <w:marLeft w:val="0"/>
      <w:marRight w:val="0"/>
      <w:marTop w:val="0"/>
      <w:marBottom w:val="0"/>
      <w:divBdr>
        <w:top w:val="none" w:sz="0" w:space="0" w:color="auto"/>
        <w:left w:val="none" w:sz="0" w:space="0" w:color="auto"/>
        <w:bottom w:val="none" w:sz="0" w:space="0" w:color="auto"/>
        <w:right w:val="none" w:sz="0" w:space="0" w:color="auto"/>
      </w:divBdr>
      <w:divsChild>
        <w:div w:id="1493181120">
          <w:marLeft w:val="0"/>
          <w:marRight w:val="0"/>
          <w:marTop w:val="0"/>
          <w:marBottom w:val="0"/>
          <w:divBdr>
            <w:top w:val="none" w:sz="0" w:space="0" w:color="auto"/>
            <w:left w:val="none" w:sz="0" w:space="0" w:color="auto"/>
            <w:bottom w:val="none" w:sz="0" w:space="0" w:color="auto"/>
            <w:right w:val="none" w:sz="0" w:space="0" w:color="auto"/>
          </w:divBdr>
          <w:divsChild>
            <w:div w:id="625811978">
              <w:marLeft w:val="0"/>
              <w:marRight w:val="0"/>
              <w:marTop w:val="0"/>
              <w:marBottom w:val="0"/>
              <w:divBdr>
                <w:top w:val="none" w:sz="0" w:space="0" w:color="auto"/>
                <w:left w:val="none" w:sz="0" w:space="0" w:color="auto"/>
                <w:bottom w:val="none" w:sz="0" w:space="0" w:color="auto"/>
                <w:right w:val="none" w:sz="0" w:space="0" w:color="auto"/>
              </w:divBdr>
              <w:divsChild>
                <w:div w:id="71134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258285">
      <w:bodyDiv w:val="1"/>
      <w:marLeft w:val="0"/>
      <w:marRight w:val="0"/>
      <w:marTop w:val="0"/>
      <w:marBottom w:val="0"/>
      <w:divBdr>
        <w:top w:val="none" w:sz="0" w:space="0" w:color="auto"/>
        <w:left w:val="none" w:sz="0" w:space="0" w:color="auto"/>
        <w:bottom w:val="none" w:sz="0" w:space="0" w:color="auto"/>
        <w:right w:val="none" w:sz="0" w:space="0" w:color="auto"/>
      </w:divBdr>
      <w:divsChild>
        <w:div w:id="611792074">
          <w:marLeft w:val="0"/>
          <w:marRight w:val="0"/>
          <w:marTop w:val="0"/>
          <w:marBottom w:val="0"/>
          <w:divBdr>
            <w:top w:val="none" w:sz="0" w:space="0" w:color="auto"/>
            <w:left w:val="none" w:sz="0" w:space="0" w:color="auto"/>
            <w:bottom w:val="none" w:sz="0" w:space="0" w:color="auto"/>
            <w:right w:val="none" w:sz="0" w:space="0" w:color="auto"/>
          </w:divBdr>
          <w:divsChild>
            <w:div w:id="269629979">
              <w:marLeft w:val="0"/>
              <w:marRight w:val="0"/>
              <w:marTop w:val="0"/>
              <w:marBottom w:val="0"/>
              <w:divBdr>
                <w:top w:val="none" w:sz="0" w:space="0" w:color="auto"/>
                <w:left w:val="none" w:sz="0" w:space="0" w:color="auto"/>
                <w:bottom w:val="none" w:sz="0" w:space="0" w:color="auto"/>
                <w:right w:val="none" w:sz="0" w:space="0" w:color="auto"/>
              </w:divBdr>
              <w:divsChild>
                <w:div w:id="151009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945764">
      <w:bodyDiv w:val="1"/>
      <w:marLeft w:val="0"/>
      <w:marRight w:val="0"/>
      <w:marTop w:val="0"/>
      <w:marBottom w:val="0"/>
      <w:divBdr>
        <w:top w:val="none" w:sz="0" w:space="0" w:color="auto"/>
        <w:left w:val="none" w:sz="0" w:space="0" w:color="auto"/>
        <w:bottom w:val="none" w:sz="0" w:space="0" w:color="auto"/>
        <w:right w:val="none" w:sz="0" w:space="0" w:color="auto"/>
      </w:divBdr>
      <w:divsChild>
        <w:div w:id="1696728460">
          <w:marLeft w:val="0"/>
          <w:marRight w:val="0"/>
          <w:marTop w:val="0"/>
          <w:marBottom w:val="0"/>
          <w:divBdr>
            <w:top w:val="none" w:sz="0" w:space="0" w:color="auto"/>
            <w:left w:val="none" w:sz="0" w:space="0" w:color="auto"/>
            <w:bottom w:val="none" w:sz="0" w:space="0" w:color="auto"/>
            <w:right w:val="none" w:sz="0" w:space="0" w:color="auto"/>
          </w:divBdr>
          <w:divsChild>
            <w:div w:id="155652273">
              <w:marLeft w:val="0"/>
              <w:marRight w:val="0"/>
              <w:marTop w:val="0"/>
              <w:marBottom w:val="0"/>
              <w:divBdr>
                <w:top w:val="none" w:sz="0" w:space="0" w:color="auto"/>
                <w:left w:val="none" w:sz="0" w:space="0" w:color="auto"/>
                <w:bottom w:val="none" w:sz="0" w:space="0" w:color="auto"/>
                <w:right w:val="none" w:sz="0" w:space="0" w:color="auto"/>
              </w:divBdr>
              <w:divsChild>
                <w:div w:id="125909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435975218">
      <w:bodyDiv w:val="1"/>
      <w:marLeft w:val="0"/>
      <w:marRight w:val="0"/>
      <w:marTop w:val="0"/>
      <w:marBottom w:val="0"/>
      <w:divBdr>
        <w:top w:val="none" w:sz="0" w:space="0" w:color="auto"/>
        <w:left w:val="none" w:sz="0" w:space="0" w:color="auto"/>
        <w:bottom w:val="none" w:sz="0" w:space="0" w:color="auto"/>
        <w:right w:val="none" w:sz="0" w:space="0" w:color="auto"/>
      </w:divBdr>
      <w:divsChild>
        <w:div w:id="1507280933">
          <w:marLeft w:val="0"/>
          <w:marRight w:val="0"/>
          <w:marTop w:val="0"/>
          <w:marBottom w:val="0"/>
          <w:divBdr>
            <w:top w:val="none" w:sz="0" w:space="0" w:color="auto"/>
            <w:left w:val="none" w:sz="0" w:space="0" w:color="auto"/>
            <w:bottom w:val="none" w:sz="0" w:space="0" w:color="auto"/>
            <w:right w:val="none" w:sz="0" w:space="0" w:color="auto"/>
          </w:divBdr>
          <w:divsChild>
            <w:div w:id="1134640755">
              <w:marLeft w:val="0"/>
              <w:marRight w:val="0"/>
              <w:marTop w:val="0"/>
              <w:marBottom w:val="0"/>
              <w:divBdr>
                <w:top w:val="none" w:sz="0" w:space="0" w:color="auto"/>
                <w:left w:val="none" w:sz="0" w:space="0" w:color="auto"/>
                <w:bottom w:val="none" w:sz="0" w:space="0" w:color="auto"/>
                <w:right w:val="none" w:sz="0" w:space="0" w:color="auto"/>
              </w:divBdr>
              <w:divsChild>
                <w:div w:id="18128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836360">
      <w:bodyDiv w:val="1"/>
      <w:marLeft w:val="0"/>
      <w:marRight w:val="0"/>
      <w:marTop w:val="0"/>
      <w:marBottom w:val="0"/>
      <w:divBdr>
        <w:top w:val="none" w:sz="0" w:space="0" w:color="auto"/>
        <w:left w:val="none" w:sz="0" w:space="0" w:color="auto"/>
        <w:bottom w:val="none" w:sz="0" w:space="0" w:color="auto"/>
        <w:right w:val="none" w:sz="0" w:space="0" w:color="auto"/>
      </w:divBdr>
    </w:div>
    <w:div w:id="1638338583">
      <w:bodyDiv w:val="1"/>
      <w:marLeft w:val="0"/>
      <w:marRight w:val="0"/>
      <w:marTop w:val="0"/>
      <w:marBottom w:val="0"/>
      <w:divBdr>
        <w:top w:val="none" w:sz="0" w:space="0" w:color="auto"/>
        <w:left w:val="none" w:sz="0" w:space="0" w:color="auto"/>
        <w:bottom w:val="none" w:sz="0" w:space="0" w:color="auto"/>
        <w:right w:val="none" w:sz="0" w:space="0" w:color="auto"/>
      </w:divBdr>
      <w:divsChild>
        <w:div w:id="655500266">
          <w:marLeft w:val="0"/>
          <w:marRight w:val="0"/>
          <w:marTop w:val="0"/>
          <w:marBottom w:val="0"/>
          <w:divBdr>
            <w:top w:val="none" w:sz="0" w:space="0" w:color="auto"/>
            <w:left w:val="none" w:sz="0" w:space="0" w:color="auto"/>
            <w:bottom w:val="none" w:sz="0" w:space="0" w:color="auto"/>
            <w:right w:val="none" w:sz="0" w:space="0" w:color="auto"/>
          </w:divBdr>
          <w:divsChild>
            <w:div w:id="911426022">
              <w:marLeft w:val="0"/>
              <w:marRight w:val="0"/>
              <w:marTop w:val="0"/>
              <w:marBottom w:val="0"/>
              <w:divBdr>
                <w:top w:val="none" w:sz="0" w:space="0" w:color="auto"/>
                <w:left w:val="none" w:sz="0" w:space="0" w:color="auto"/>
                <w:bottom w:val="none" w:sz="0" w:space="0" w:color="auto"/>
                <w:right w:val="none" w:sz="0" w:space="0" w:color="auto"/>
              </w:divBdr>
              <w:divsChild>
                <w:div w:id="204755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6912569">
      <w:bodyDiv w:val="1"/>
      <w:marLeft w:val="0"/>
      <w:marRight w:val="0"/>
      <w:marTop w:val="0"/>
      <w:marBottom w:val="0"/>
      <w:divBdr>
        <w:top w:val="none" w:sz="0" w:space="0" w:color="auto"/>
        <w:left w:val="none" w:sz="0" w:space="0" w:color="auto"/>
        <w:bottom w:val="none" w:sz="0" w:space="0" w:color="auto"/>
        <w:right w:val="none" w:sz="0" w:space="0" w:color="auto"/>
      </w:divBdr>
      <w:divsChild>
        <w:div w:id="1226143398">
          <w:marLeft w:val="0"/>
          <w:marRight w:val="0"/>
          <w:marTop w:val="0"/>
          <w:marBottom w:val="0"/>
          <w:divBdr>
            <w:top w:val="none" w:sz="0" w:space="0" w:color="auto"/>
            <w:left w:val="none" w:sz="0" w:space="0" w:color="auto"/>
            <w:bottom w:val="none" w:sz="0" w:space="0" w:color="auto"/>
            <w:right w:val="none" w:sz="0" w:space="0" w:color="auto"/>
          </w:divBdr>
          <w:divsChild>
            <w:div w:id="172260863">
              <w:marLeft w:val="0"/>
              <w:marRight w:val="0"/>
              <w:marTop w:val="0"/>
              <w:marBottom w:val="0"/>
              <w:divBdr>
                <w:top w:val="none" w:sz="0" w:space="0" w:color="auto"/>
                <w:left w:val="none" w:sz="0" w:space="0" w:color="auto"/>
                <w:bottom w:val="none" w:sz="0" w:space="0" w:color="auto"/>
                <w:right w:val="none" w:sz="0" w:space="0" w:color="auto"/>
              </w:divBdr>
              <w:divsChild>
                <w:div w:id="16485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 w:id="2128042379">
      <w:bodyDiv w:val="1"/>
      <w:marLeft w:val="0"/>
      <w:marRight w:val="0"/>
      <w:marTop w:val="0"/>
      <w:marBottom w:val="0"/>
      <w:divBdr>
        <w:top w:val="none" w:sz="0" w:space="0" w:color="auto"/>
        <w:left w:val="none" w:sz="0" w:space="0" w:color="auto"/>
        <w:bottom w:val="none" w:sz="0" w:space="0" w:color="auto"/>
        <w:right w:val="none" w:sz="0" w:space="0" w:color="auto"/>
      </w:divBdr>
      <w:divsChild>
        <w:div w:id="1415933903">
          <w:marLeft w:val="0"/>
          <w:marRight w:val="0"/>
          <w:marTop w:val="0"/>
          <w:marBottom w:val="0"/>
          <w:divBdr>
            <w:top w:val="none" w:sz="0" w:space="0" w:color="auto"/>
            <w:left w:val="none" w:sz="0" w:space="0" w:color="auto"/>
            <w:bottom w:val="none" w:sz="0" w:space="0" w:color="auto"/>
            <w:right w:val="none" w:sz="0" w:space="0" w:color="auto"/>
          </w:divBdr>
          <w:divsChild>
            <w:div w:id="1355106521">
              <w:marLeft w:val="0"/>
              <w:marRight w:val="0"/>
              <w:marTop w:val="0"/>
              <w:marBottom w:val="0"/>
              <w:divBdr>
                <w:top w:val="none" w:sz="0" w:space="0" w:color="auto"/>
                <w:left w:val="none" w:sz="0" w:space="0" w:color="auto"/>
                <w:bottom w:val="none" w:sz="0" w:space="0" w:color="auto"/>
                <w:right w:val="none" w:sz="0" w:space="0" w:color="auto"/>
              </w:divBdr>
              <w:divsChild>
                <w:div w:id="97414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thilde\Downloads\G2110271.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ndocs.org/en/A/HRC/48/7/Add.1" TargetMode="External"/><Relationship Id="rId5" Type="http://schemas.openxmlformats.org/officeDocument/2006/relationships/webSettings" Target="webSettings.xml"/><Relationship Id="rId10" Type="http://schemas.openxmlformats.org/officeDocument/2006/relationships/hyperlink" Target="https://undocs.org/A/HRC/47/35" TargetMode="External"/><Relationship Id="rId4" Type="http://schemas.openxmlformats.org/officeDocument/2006/relationships/settings" Target="settings.xml"/><Relationship Id="rId9" Type="http://schemas.openxmlformats.org/officeDocument/2006/relationships/hyperlink" Target="file:///C:\Users\Mathilde\Downloads\G2110271.pdf"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94DD9-1A59-4105-BF78-0A1EE426B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702</Words>
  <Characters>4004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4</cp:revision>
  <dcterms:created xsi:type="dcterms:W3CDTF">2022-03-07T16:03:00Z</dcterms:created>
  <dcterms:modified xsi:type="dcterms:W3CDTF">2022-03-08T09:08:00Z</dcterms:modified>
</cp:coreProperties>
</file>